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4560D7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4560D7">
        <w:t>podání nabídky</w:t>
      </w:r>
    </w:p>
    <w:p w14:paraId="523FE11F" w14:textId="22AF7AA7" w:rsidR="008B1A2C" w:rsidRPr="00704B47" w:rsidRDefault="008B1A2C" w:rsidP="00B87D91">
      <w:pPr>
        <w:rPr>
          <w:b/>
          <w:color w:val="FF5200" w:themeColor="accent2"/>
          <w:sz w:val="36"/>
          <w:szCs w:val="36"/>
        </w:rPr>
      </w:pPr>
      <w:r w:rsidRPr="004560D7">
        <w:rPr>
          <w:b/>
          <w:color w:val="FF5200" w:themeColor="accent2"/>
          <w:sz w:val="36"/>
          <w:szCs w:val="36"/>
        </w:rPr>
        <w:t>Krycí list nabídky</w:t>
      </w:r>
      <w:r w:rsidR="0031280B" w:rsidRPr="004560D7">
        <w:rPr>
          <w:b/>
          <w:color w:val="FF5200" w:themeColor="accent2"/>
          <w:sz w:val="36"/>
          <w:szCs w:val="36"/>
        </w:rPr>
        <w:t xml:space="preserve"> k </w:t>
      </w:r>
      <w:r w:rsidR="0031280B" w:rsidRPr="00704B47">
        <w:rPr>
          <w:b/>
          <w:color w:val="FF5200" w:themeColor="accent2"/>
          <w:sz w:val="36"/>
          <w:szCs w:val="36"/>
        </w:rPr>
        <w:t>veřejné zakázce s názvem „</w:t>
      </w:r>
      <w:r w:rsidR="00064357" w:rsidRPr="00704B47">
        <w:rPr>
          <w:b/>
          <w:color w:val="FF5200" w:themeColor="accent2"/>
          <w:sz w:val="36"/>
          <w:szCs w:val="36"/>
        </w:rPr>
        <w:t>Implementace Microsoft Project O</w:t>
      </w:r>
      <w:r w:rsidR="00A53854">
        <w:rPr>
          <w:b/>
          <w:color w:val="FF5200" w:themeColor="accent2"/>
          <w:sz w:val="36"/>
          <w:szCs w:val="36"/>
        </w:rPr>
        <w:t>n</w:t>
      </w:r>
      <w:r w:rsidR="00064357" w:rsidRPr="00704B47">
        <w:rPr>
          <w:b/>
          <w:color w:val="FF5200" w:themeColor="accent2"/>
          <w:sz w:val="36"/>
          <w:szCs w:val="36"/>
        </w:rPr>
        <w:t>line</w:t>
      </w:r>
      <w:r w:rsidR="0031280B" w:rsidRPr="00704B47">
        <w:rPr>
          <w:b/>
          <w:color w:val="FF5200" w:themeColor="accent2"/>
          <w:sz w:val="36"/>
          <w:szCs w:val="36"/>
        </w:rPr>
        <w:t>“</w:t>
      </w:r>
      <w:r w:rsidR="000128D4" w:rsidRPr="00704B4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04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04B47" w:rsidRPr="00704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86721/2023-SŽ-GŘ-O8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704B47" w:rsidRDefault="00A93A74" w:rsidP="005338C2">
          <w:pPr>
            <w:pStyle w:val="Obsah2"/>
          </w:pPr>
          <w:r w:rsidRPr="00704B47">
            <w:t>Obsah</w:t>
          </w:r>
        </w:p>
        <w:p w14:paraId="3C97A185" w14:textId="0FCEF14C" w:rsidR="005338C2" w:rsidRDefault="00A93A7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704B47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704B47">
            <w:instrText xml:space="preserve"> TOC \o "1-3" \h \z \u </w:instrText>
          </w:r>
          <w:r w:rsidRPr="00704B47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3633074" w:history="1">
            <w:r w:rsidR="005338C2" w:rsidRPr="00715FDC">
              <w:rPr>
                <w:rStyle w:val="Hypertextovodkaz"/>
                <w:noProof/>
              </w:rPr>
              <w:t>Kapitola 1.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Základní údaje k nabídce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_Toc163633074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2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201C5079" w14:textId="5F560B27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75" w:history="1">
            <w:r w:rsidR="005338C2" w:rsidRPr="00715FDC">
              <w:rPr>
                <w:rStyle w:val="Hypertextovodkaz"/>
                <w:noProof/>
              </w:rPr>
              <w:t>Kapitola 2.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Čestné prohlášení o splnění základní způsobilosti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_Toc163633075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3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7947EDAC" w14:textId="1B49336A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76" w:history="1">
            <w:r w:rsidR="005338C2" w:rsidRPr="00715FDC">
              <w:rPr>
                <w:rStyle w:val="Hypertextovodkaz"/>
                <w:noProof/>
              </w:rPr>
              <w:t>Kapitola 3.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Čestné prohlášení účastníka o střetu zájmů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_Toc163633076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4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5775D6C5" w14:textId="3292DBE1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77" w:history="1">
            <w:r w:rsidR="005338C2" w:rsidRPr="00715FDC">
              <w:rPr>
                <w:rStyle w:val="Hypertextovodkaz"/>
                <w:noProof/>
              </w:rPr>
              <w:t>Kapitola 4.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Čestné prohlášení účastníka k neuzavření zakázaných dohod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_Toc163633077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5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5EBD23FF" w14:textId="6D3105B9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78" w:history="1">
            <w:r w:rsidR="005338C2" w:rsidRPr="00715FDC">
              <w:rPr>
                <w:rStyle w:val="Hypertextovodkaz"/>
                <w:rFonts w:eastAsia="Times New Roman"/>
                <w:noProof/>
              </w:rPr>
              <w:t>Kapitola 5.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Čestné</w:t>
            </w:r>
            <w:r w:rsidR="005338C2" w:rsidRPr="00715F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_Toc163633078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6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191AE513" w14:textId="319E1446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79" w:history="1">
            <w:r w:rsidR="005338C2" w:rsidRPr="00715FDC">
              <w:rPr>
                <w:rStyle w:val="Hypertextovodkaz"/>
                <w:noProof/>
              </w:rPr>
              <w:t>Kapitola 6.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Čestné prohlášení o splnění technické kvalifikace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_Toc163633079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7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37D2D1E9" w14:textId="0488A137" w:rsidR="005338C2" w:rsidRDefault="00541EF4" w:rsidP="005338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3633080" w:history="1">
            <w:r w:rsidR="005338C2" w:rsidRPr="00715FDC">
              <w:rPr>
                <w:rStyle w:val="Hypertextovodkaz"/>
                <w:noProof/>
              </w:rPr>
              <w:t>Kapitola 7.</w:t>
            </w:r>
            <w:r w:rsidR="005338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38C2" w:rsidRPr="00715FDC">
              <w:rPr>
                <w:rStyle w:val="Hypertextovodkaz"/>
                <w:noProof/>
              </w:rPr>
              <w:t>Seznam osob</w:t>
            </w:r>
            <w:r w:rsidR="005338C2">
              <w:rPr>
                <w:noProof/>
                <w:webHidden/>
              </w:rPr>
              <w:tab/>
            </w:r>
            <w:r w:rsidR="005338C2">
              <w:rPr>
                <w:noProof/>
                <w:webHidden/>
              </w:rPr>
              <w:fldChar w:fldCharType="begin"/>
            </w:r>
            <w:r w:rsidR="005338C2">
              <w:rPr>
                <w:noProof/>
                <w:webHidden/>
              </w:rPr>
              <w:instrText xml:space="preserve"> PAGEREF _Toc163633080 \h </w:instrText>
            </w:r>
            <w:r w:rsidR="005338C2">
              <w:rPr>
                <w:noProof/>
                <w:webHidden/>
              </w:rPr>
            </w:r>
            <w:r w:rsidR="005338C2">
              <w:rPr>
                <w:noProof/>
                <w:webHidden/>
              </w:rPr>
              <w:fldChar w:fldCharType="separate"/>
            </w:r>
            <w:r w:rsidR="005338C2">
              <w:rPr>
                <w:noProof/>
                <w:webHidden/>
              </w:rPr>
              <w:t>8</w:t>
            </w:r>
            <w:r w:rsidR="005338C2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 w:rsidRPr="00704B47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363307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5B91061D" w:rsidR="00A93A74" w:rsidRDefault="00A93A74" w:rsidP="00A134A1">
      <w:pPr>
        <w:spacing w:before="360"/>
      </w:pPr>
      <w:r>
        <w:t xml:space="preserve">Účastník prohlašuje, že veškeré údaje uvedené v tomto krycím listu, </w:t>
      </w:r>
      <w:r w:rsidRPr="004560D7">
        <w:t xml:space="preserve">který je přílohou č. </w:t>
      </w:r>
      <w:r w:rsidR="00B87D91" w:rsidRPr="004560D7">
        <w:t xml:space="preserve">1 </w:t>
      </w:r>
      <w:r w:rsidRPr="004560D7">
        <w:t>Výzvy k podání nabíd</w:t>
      </w:r>
      <w:r w:rsidR="004C76E9" w:rsidRPr="004560D7">
        <w:t>ky</w:t>
      </w:r>
      <w:r w:rsidRPr="004560D7">
        <w:t xml:space="preserve"> na veřejnou zakázku zadávanou</w:t>
      </w:r>
      <w:r w:rsidR="004C76E9" w:rsidRPr="004560D7">
        <w:t xml:space="preserve"> jako </w:t>
      </w:r>
      <w:r w:rsidR="000128D4" w:rsidRPr="004560D7">
        <w:rPr>
          <w:rFonts w:eastAsia="Times New Roman" w:cs="Times New Roman"/>
          <w:lang w:eastAsia="cs-CZ"/>
        </w:rPr>
        <w:t>podlimitní sektorovou veřejnou zakázku</w:t>
      </w:r>
      <w:r w:rsidRPr="004560D7">
        <w:t>, jsou pravdivé</w:t>
      </w:r>
      <w:r w:rsidR="009771C9" w:rsidRPr="004560D7">
        <w:t>, úplné a odpovídají skutečnosti</w:t>
      </w:r>
      <w:r w:rsidRPr="004560D7">
        <w:t xml:space="preserve">. Účastník si je vědom důsledků záměrného uvedení nepravdivých údajů, které v rovině tohoto </w:t>
      </w:r>
      <w:r w:rsidR="00626DB3" w:rsidRPr="004560D7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4F9CD54" w:rsidR="008B1A2C" w:rsidRDefault="00900678" w:rsidP="008B1A2C">
      <w:r>
        <w:t>N</w:t>
      </w:r>
      <w:r w:rsidR="008B1A2C">
        <w:t>abídková cena</w:t>
      </w:r>
      <w:r w:rsidR="00C87B78">
        <w:t xml:space="preserve"> </w:t>
      </w:r>
      <w:r w:rsidR="00ED42E4">
        <w:t xml:space="preserve">je uvedena v příloze č. </w:t>
      </w:r>
      <w:r w:rsidR="009F7661">
        <w:t xml:space="preserve">3 </w:t>
      </w:r>
      <w:r w:rsidR="00ED42E4">
        <w:t>Smlouvy</w:t>
      </w:r>
      <w:r w:rsidR="0049064F">
        <w:t xml:space="preserve"> o dílo</w:t>
      </w:r>
      <w:r w:rsidR="00ED42E4">
        <w:t>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4062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41EF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41EF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44062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44062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363307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BE58EBA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8D39B4">
        <w:rPr>
          <w:szCs w:val="22"/>
          <w:lang w:eastAsia="cs-CZ"/>
        </w:rPr>
        <w:t xml:space="preserve"> (</w:t>
      </w:r>
      <w:r w:rsidR="008C73ED">
        <w:rPr>
          <w:szCs w:val="22"/>
          <w:lang w:eastAsia="cs-CZ"/>
        </w:rPr>
        <w:t>v</w:t>
      </w:r>
      <w:r w:rsidR="008D39B4" w:rsidRPr="008D39B4">
        <w:rPr>
          <w:szCs w:val="22"/>
          <w:lang w:eastAsia="cs-CZ"/>
        </w:rPr>
        <w:t>ýše uvedené podmínky splňuje jak Účastník</w:t>
      </w:r>
      <w:r w:rsidR="008C73ED">
        <w:rPr>
          <w:szCs w:val="22"/>
          <w:lang w:eastAsia="cs-CZ"/>
        </w:rPr>
        <w:t>,</w:t>
      </w:r>
      <w:r w:rsidR="008D39B4" w:rsidRPr="008D39B4">
        <w:rPr>
          <w:szCs w:val="22"/>
          <w:lang w:eastAsia="cs-CZ"/>
        </w:rPr>
        <w:t xml:space="preserve"> coby právnická osoba, tak každý člen jeho statutárního orgánu</w:t>
      </w:r>
      <w:r w:rsidR="008C73ED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363307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560D7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363307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6363307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63633079"/>
      <w:r w:rsidRPr="00E85D44">
        <w:t>Čestné prohlášení o splnění technické kvalifikace</w:t>
      </w:r>
      <w:bookmarkEnd w:id="5"/>
    </w:p>
    <w:p w14:paraId="71002640" w14:textId="49D3BBD5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alespoň </w:t>
      </w:r>
      <w:r w:rsidR="002072F4" w:rsidRPr="00B61DB0">
        <w:rPr>
          <w:rFonts w:eastAsia="Times New Roman" w:cs="Times New Roman"/>
          <w:lang w:eastAsia="cs-CZ"/>
        </w:rPr>
        <w:t xml:space="preserve">1 významnou </w:t>
      </w:r>
      <w:r w:rsidR="002072F4">
        <w:rPr>
          <w:rFonts w:eastAsia="Times New Roman" w:cs="Times New Roman"/>
          <w:lang w:eastAsia="cs-CZ"/>
        </w:rPr>
        <w:t>službu</w:t>
      </w:r>
      <w:r w:rsidR="00B61DB0">
        <w:rPr>
          <w:rFonts w:eastAsia="Times New Roman" w:cs="Times New Roman"/>
          <w:lang w:eastAsia="cs-CZ"/>
        </w:rPr>
        <w:t>,</w:t>
      </w:r>
      <w:r w:rsidR="00E85D44">
        <w:rPr>
          <w:rFonts w:eastAsia="Times New Roman" w:cs="Times New Roman"/>
          <w:lang w:eastAsia="cs-CZ"/>
        </w:rPr>
        <w:t xml:space="preserve"> </w:t>
      </w:r>
      <w:r w:rsidR="00B61DB0">
        <w:rPr>
          <w:rFonts w:eastAsia="Times New Roman" w:cs="Times New Roman"/>
          <w:lang w:eastAsia="cs-CZ"/>
        </w:rPr>
        <w:t xml:space="preserve">definovanou </w:t>
      </w:r>
      <w:r w:rsidR="00E85D44">
        <w:rPr>
          <w:rFonts w:eastAsia="Times New Roman" w:cs="Times New Roman"/>
          <w:lang w:eastAsia="cs-CZ"/>
        </w:rPr>
        <w:t xml:space="preserve">v čl. </w:t>
      </w:r>
      <w:r w:rsidR="003657DE">
        <w:rPr>
          <w:rFonts w:eastAsia="Times New Roman" w:cs="Times New Roman"/>
          <w:lang w:eastAsia="cs-CZ"/>
        </w:rPr>
        <w:t xml:space="preserve">7.5.1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7D3732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5F571F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421DF8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F02E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2F602D9" w14:textId="77777777" w:rsidR="00C82707" w:rsidRDefault="00C82707">
      <w:pPr>
        <w:rPr>
          <w:rFonts w:eastAsia="Times New Roman" w:cs="Times New Roman"/>
          <w:lang w:eastAsia="cs-CZ"/>
        </w:rPr>
      </w:pPr>
    </w:p>
    <w:p w14:paraId="3BA5B93D" w14:textId="27720A1E" w:rsidR="00C82707" w:rsidRPr="003657DE" w:rsidRDefault="00C82707" w:rsidP="00C82707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3657DE">
        <w:rPr>
          <w:rFonts w:eastAsia="Times New Roman" w:cs="Times New Roman"/>
          <w:lang w:eastAsia="cs-CZ"/>
        </w:rPr>
        <w:t xml:space="preserve">nabídku, tímto čestně prohlašuje, že za poslední 3 roky před zahájením výběrového řízení poskytoval alespoň </w:t>
      </w:r>
      <w:r w:rsidR="0065214B" w:rsidRPr="00B61DB0">
        <w:rPr>
          <w:rFonts w:eastAsia="Times New Roman" w:cs="Times New Roman"/>
          <w:lang w:eastAsia="cs-CZ"/>
        </w:rPr>
        <w:t>1</w:t>
      </w:r>
      <w:r w:rsidRPr="00B61DB0">
        <w:rPr>
          <w:rFonts w:eastAsia="Times New Roman" w:cs="Times New Roman"/>
          <w:lang w:eastAsia="cs-CZ"/>
        </w:rPr>
        <w:t xml:space="preserve"> významn</w:t>
      </w:r>
      <w:r w:rsidR="0065214B" w:rsidRPr="00B61DB0">
        <w:rPr>
          <w:rFonts w:eastAsia="Times New Roman" w:cs="Times New Roman"/>
          <w:lang w:eastAsia="cs-CZ"/>
        </w:rPr>
        <w:t>ou</w:t>
      </w:r>
      <w:r w:rsidRPr="00B61DB0">
        <w:rPr>
          <w:rFonts w:eastAsia="Times New Roman" w:cs="Times New Roman"/>
          <w:lang w:eastAsia="cs-CZ"/>
        </w:rPr>
        <w:t xml:space="preserve"> služ</w:t>
      </w:r>
      <w:r w:rsidR="0065214B" w:rsidRPr="00B61DB0">
        <w:rPr>
          <w:rFonts w:eastAsia="Times New Roman" w:cs="Times New Roman"/>
          <w:lang w:eastAsia="cs-CZ"/>
        </w:rPr>
        <w:t>bu</w:t>
      </w:r>
      <w:r w:rsidRPr="003657DE">
        <w:rPr>
          <w:rFonts w:eastAsia="Times New Roman" w:cs="Times New Roman"/>
          <w:lang w:eastAsia="cs-CZ"/>
        </w:rPr>
        <w:t xml:space="preserve"> definovan</w:t>
      </w:r>
      <w:r w:rsidR="0065214B" w:rsidRPr="003657DE">
        <w:rPr>
          <w:rFonts w:eastAsia="Times New Roman" w:cs="Times New Roman"/>
          <w:lang w:eastAsia="cs-CZ"/>
        </w:rPr>
        <w:t xml:space="preserve">ou </w:t>
      </w:r>
      <w:r w:rsidRPr="003657DE">
        <w:rPr>
          <w:rFonts w:eastAsia="Times New Roman" w:cs="Times New Roman"/>
          <w:lang w:eastAsia="cs-CZ"/>
        </w:rPr>
        <w:t xml:space="preserve">v čl. </w:t>
      </w:r>
      <w:r w:rsidR="003657DE" w:rsidRPr="003657DE">
        <w:rPr>
          <w:rFonts w:eastAsia="Times New Roman" w:cs="Times New Roman"/>
          <w:lang w:eastAsia="cs-CZ"/>
        </w:rPr>
        <w:t>7.5.2</w:t>
      </w:r>
      <w:r w:rsidRPr="003657DE">
        <w:rPr>
          <w:rFonts w:eastAsia="Times New Roman" w:cs="Times New Roman"/>
          <w:lang w:eastAsia="cs-CZ"/>
        </w:rPr>
        <w:t xml:space="preserve"> Výzvy k podání nabídky </w:t>
      </w:r>
      <w:r w:rsidRPr="00B61DB0">
        <w:rPr>
          <w:rFonts w:eastAsia="Times New Roman" w:cs="Times New Roman"/>
          <w:lang w:eastAsia="cs-CZ"/>
        </w:rPr>
        <w:t>v </w:t>
      </w:r>
      <w:r w:rsidR="003657DE" w:rsidRPr="003657DE">
        <w:rPr>
          <w:rFonts w:eastAsia="Times New Roman" w:cs="Times New Roman"/>
          <w:lang w:eastAsia="cs-CZ"/>
        </w:rPr>
        <w:t>minimální</w:t>
      </w:r>
      <w:r w:rsidRPr="003657DE">
        <w:rPr>
          <w:rFonts w:eastAsia="Times New Roman" w:cs="Times New Roman"/>
          <w:lang w:eastAsia="cs-CZ"/>
        </w:rPr>
        <w:t xml:space="preserve"> hodnotě </w:t>
      </w:r>
      <w:r w:rsidR="003657DE" w:rsidRPr="003657DE">
        <w:rPr>
          <w:rFonts w:eastAsia="Times New Roman" w:cs="Times New Roman"/>
          <w:lang w:eastAsia="cs-CZ"/>
        </w:rPr>
        <w:t>1 000 000</w:t>
      </w:r>
      <w:r w:rsidRPr="003657DE">
        <w:rPr>
          <w:rFonts w:eastAsia="Times New Roman" w:cs="Times New Roman"/>
          <w:lang w:eastAsia="cs-CZ"/>
        </w:rPr>
        <w:t xml:space="preserve"> Kč bez DPH.</w:t>
      </w:r>
    </w:p>
    <w:p w14:paraId="5FC02CB4" w14:textId="77777777" w:rsidR="00C82707" w:rsidRPr="003657DE" w:rsidRDefault="00C82707" w:rsidP="00C82707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82707" w:rsidRPr="003657DE" w14:paraId="0D777069" w14:textId="77777777" w:rsidTr="006C42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A7FE388" w14:textId="728A27B8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748D90F" w14:textId="77777777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0BBE991" w14:textId="3922B594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53FC46B4" w14:textId="77777777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03137DE" w14:textId="039CD2CD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B38F645" w14:textId="77777777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634C9EDD" w14:textId="77777777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výběrového řízení)</w:t>
            </w:r>
          </w:p>
        </w:tc>
      </w:tr>
      <w:tr w:rsidR="00B61DB0" w:rsidRPr="003657DE" w14:paraId="19355DCE" w14:textId="77777777" w:rsidTr="00B61D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2023BE" w14:textId="77777777" w:rsidR="00C82707" w:rsidRPr="00B61DB0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080151" w14:textId="77777777" w:rsidR="00C82707" w:rsidRPr="00B61DB0" w:rsidRDefault="00C82707" w:rsidP="006C42D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2783B4" w14:textId="77777777" w:rsidR="00C82707" w:rsidRPr="00B61DB0" w:rsidRDefault="00C82707" w:rsidP="006C42D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F44CDB" w14:textId="77777777" w:rsidR="00C82707" w:rsidRPr="00B61DB0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06960E9" w14:textId="77777777" w:rsidR="00C82707" w:rsidRDefault="00C82707">
      <w:pPr>
        <w:rPr>
          <w:rFonts w:eastAsia="Times New Roman" w:cs="Times New Roman"/>
          <w:lang w:eastAsia="cs-CZ"/>
        </w:rPr>
      </w:pPr>
    </w:p>
    <w:p w14:paraId="1B82F617" w14:textId="494EC2F4" w:rsidR="00C82707" w:rsidRPr="003657DE" w:rsidRDefault="00C82707" w:rsidP="00C82707">
      <w:pPr>
        <w:spacing w:before="360" w:after="0" w:line="240" w:lineRule="auto"/>
        <w:rPr>
          <w:rFonts w:eastAsia="Times New Roman" w:cs="Times New Roman"/>
          <w:lang w:eastAsia="cs-CZ"/>
        </w:rPr>
      </w:pPr>
      <w:r w:rsidRPr="003657DE">
        <w:rPr>
          <w:rFonts w:eastAsia="Times New Roman" w:cs="Times New Roman"/>
          <w:lang w:eastAsia="cs-CZ"/>
        </w:rPr>
        <w:t xml:space="preserve">Účastník, který podává tuto nabídku, tímto čestně prohlašuje, že za </w:t>
      </w:r>
      <w:r w:rsidR="00A92355" w:rsidRPr="003657DE">
        <w:rPr>
          <w:rFonts w:eastAsia="Times New Roman" w:cs="Times New Roman"/>
          <w:lang w:eastAsia="cs-CZ"/>
        </w:rPr>
        <w:t>5 let</w:t>
      </w:r>
      <w:r w:rsidRPr="003657DE">
        <w:rPr>
          <w:rFonts w:eastAsia="Times New Roman" w:cs="Times New Roman"/>
          <w:lang w:eastAsia="cs-CZ"/>
        </w:rPr>
        <w:t xml:space="preserve"> před zahájením výběrového řízení poskytoval alespoň </w:t>
      </w:r>
      <w:r w:rsidR="00A92355" w:rsidRPr="00B61DB0">
        <w:rPr>
          <w:rFonts w:eastAsia="Times New Roman" w:cs="Times New Roman"/>
          <w:lang w:eastAsia="cs-CZ"/>
        </w:rPr>
        <w:t>2</w:t>
      </w:r>
      <w:r w:rsidRPr="00B61DB0">
        <w:rPr>
          <w:rFonts w:eastAsia="Times New Roman" w:cs="Times New Roman"/>
          <w:lang w:eastAsia="cs-CZ"/>
        </w:rPr>
        <w:t xml:space="preserve"> významn</w:t>
      </w:r>
      <w:r w:rsidR="00A92355" w:rsidRPr="00B61DB0">
        <w:rPr>
          <w:rFonts w:eastAsia="Times New Roman" w:cs="Times New Roman"/>
          <w:lang w:eastAsia="cs-CZ"/>
        </w:rPr>
        <w:t>é</w:t>
      </w:r>
      <w:r w:rsidRPr="00B61DB0">
        <w:rPr>
          <w:rFonts w:eastAsia="Times New Roman" w:cs="Times New Roman"/>
          <w:lang w:eastAsia="cs-CZ"/>
        </w:rPr>
        <w:t xml:space="preserve"> </w:t>
      </w:r>
      <w:r w:rsidR="00A92355" w:rsidRPr="003657DE">
        <w:rPr>
          <w:rFonts w:eastAsia="Times New Roman" w:cs="Times New Roman"/>
          <w:lang w:eastAsia="cs-CZ"/>
        </w:rPr>
        <w:t>služby</w:t>
      </w:r>
      <w:r w:rsidRPr="003657DE">
        <w:rPr>
          <w:rFonts w:eastAsia="Times New Roman" w:cs="Times New Roman"/>
          <w:lang w:eastAsia="cs-CZ"/>
        </w:rPr>
        <w:t xml:space="preserve"> definovan</w:t>
      </w:r>
      <w:r w:rsidR="00A92355" w:rsidRPr="003657DE">
        <w:rPr>
          <w:rFonts w:eastAsia="Times New Roman" w:cs="Times New Roman"/>
          <w:lang w:eastAsia="cs-CZ"/>
        </w:rPr>
        <w:t>é</w:t>
      </w:r>
      <w:r w:rsidRPr="003657DE">
        <w:rPr>
          <w:rFonts w:eastAsia="Times New Roman" w:cs="Times New Roman"/>
          <w:lang w:eastAsia="cs-CZ"/>
        </w:rPr>
        <w:t xml:space="preserve"> v čl. </w:t>
      </w:r>
      <w:r w:rsidR="00A92355" w:rsidRPr="003657DE">
        <w:rPr>
          <w:rFonts w:eastAsia="Times New Roman" w:cs="Times New Roman"/>
          <w:lang w:eastAsia="cs-CZ"/>
        </w:rPr>
        <w:t>7.5.3</w:t>
      </w:r>
      <w:r w:rsidRPr="003657DE">
        <w:rPr>
          <w:rFonts w:eastAsia="Times New Roman" w:cs="Times New Roman"/>
          <w:lang w:eastAsia="cs-CZ"/>
        </w:rPr>
        <w:t xml:space="preserve"> Výzvy k podání nabídky </w:t>
      </w:r>
      <w:r w:rsidRPr="00B61DB0">
        <w:rPr>
          <w:rFonts w:eastAsia="Times New Roman" w:cs="Times New Roman"/>
          <w:lang w:eastAsia="cs-CZ"/>
        </w:rPr>
        <w:t>za každou</w:t>
      </w:r>
      <w:r w:rsidR="009E71B7">
        <w:rPr>
          <w:rFonts w:eastAsia="Times New Roman" w:cs="Times New Roman"/>
          <w:lang w:eastAsia="cs-CZ"/>
        </w:rPr>
        <w:t xml:space="preserve"> v</w:t>
      </w:r>
      <w:r w:rsidRPr="003657DE">
        <w:rPr>
          <w:rFonts w:eastAsia="Times New Roman" w:cs="Times New Roman"/>
          <w:lang w:eastAsia="cs-CZ"/>
        </w:rPr>
        <w:t xml:space="preserve"> hodnotě</w:t>
      </w:r>
      <w:r w:rsidR="00962591" w:rsidRPr="003657DE">
        <w:rPr>
          <w:rFonts w:eastAsia="Times New Roman" w:cs="Times New Roman"/>
          <w:lang w:eastAsia="cs-CZ"/>
        </w:rPr>
        <w:t xml:space="preserve"> minimálně 150 000</w:t>
      </w:r>
      <w:r w:rsidRPr="003657DE">
        <w:rPr>
          <w:rFonts w:eastAsia="Times New Roman" w:cs="Times New Roman"/>
          <w:lang w:eastAsia="cs-CZ"/>
        </w:rPr>
        <w:t xml:space="preserve"> Kč bez DPH.</w:t>
      </w:r>
    </w:p>
    <w:p w14:paraId="0A278569" w14:textId="77777777" w:rsidR="00C82707" w:rsidRPr="003657DE" w:rsidRDefault="00C82707" w:rsidP="00C82707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82707" w14:paraId="4B989E87" w14:textId="77777777" w:rsidTr="006C42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2935C857" w14:textId="648460A2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F53781E" w14:textId="6351E2AD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1033C775" w14:textId="2553D3A5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2D777B98" w14:textId="77777777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5BCD3083" w14:textId="1CCE7AE5" w:rsidR="00C82707" w:rsidRPr="003657DE" w:rsidRDefault="00C82707" w:rsidP="006C42D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9CAF791" w14:textId="77777777" w:rsidR="00C82707" w:rsidRPr="003657DE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2A8857AF" w14:textId="55632883" w:rsidR="00C82707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644334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3657DE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výběrového řízení)</w:t>
            </w:r>
          </w:p>
        </w:tc>
      </w:tr>
      <w:tr w:rsidR="00C82707" w14:paraId="7B27DCF8" w14:textId="77777777" w:rsidTr="00B61DB0">
        <w:trPr>
          <w:trHeight w:val="10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8599" w14:textId="77777777" w:rsidR="00C82707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0F48" w14:textId="77777777" w:rsidR="00C82707" w:rsidRDefault="00C82707" w:rsidP="006C42D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9708B0" w14:textId="77777777" w:rsidR="00C82707" w:rsidRDefault="00C82707" w:rsidP="006C42D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FF03" w14:textId="77777777" w:rsidR="00C82707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82707" w14:paraId="2D880D37" w14:textId="77777777" w:rsidTr="00B61D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3550FDA" w14:textId="77777777" w:rsidR="00C82707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14DFE7B" w14:textId="77777777" w:rsidR="00C82707" w:rsidRDefault="00C82707" w:rsidP="006C42D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182877D2" w14:textId="77777777" w:rsidR="00C82707" w:rsidRDefault="00C82707" w:rsidP="006C42D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8389" w14:textId="77777777" w:rsidR="00C82707" w:rsidRDefault="00C82707" w:rsidP="006C42D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268FAC6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63633080"/>
      <w:r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6"/>
        <w:gridCol w:w="4346"/>
      </w:tblGrid>
      <w:tr w:rsidR="00F44645" w14:paraId="23E1AAD0" w14:textId="77777777" w:rsidTr="00456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  <w:shd w:val="clear" w:color="auto" w:fill="auto"/>
          </w:tcPr>
          <w:p w14:paraId="083B475F" w14:textId="77777777" w:rsidR="00F44645" w:rsidRPr="004560D7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4560D7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6" w:type="dxa"/>
            <w:shd w:val="clear" w:color="auto" w:fill="auto"/>
          </w:tcPr>
          <w:p w14:paraId="652DAA0D" w14:textId="77777777" w:rsidR="00F44645" w:rsidRPr="004560D7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560D7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4560D7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  <w:shd w:val="clear" w:color="auto" w:fill="auto"/>
          </w:tcPr>
          <w:p w14:paraId="2362AB3B" w14:textId="06BB5768" w:rsidR="00F44645" w:rsidRPr="004560D7" w:rsidRDefault="00806F00" w:rsidP="00A327CB">
            <w:pPr>
              <w:rPr>
                <w:rFonts w:eastAsia="Times New Roman" w:cs="Times New Roman"/>
                <w:lang w:eastAsia="cs-CZ"/>
              </w:rPr>
            </w:pPr>
            <w:r w:rsidRPr="004560D7">
              <w:rPr>
                <w:rFonts w:eastAsia="Times New Roman" w:cs="Times New Roman"/>
                <w:lang w:eastAsia="cs-CZ"/>
              </w:rPr>
              <w:t xml:space="preserve">Business Analytik </w:t>
            </w:r>
          </w:p>
        </w:tc>
        <w:tc>
          <w:tcPr>
            <w:tcW w:w="4346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4560D7" w14:paraId="274AC354" w14:textId="77777777" w:rsidTr="00456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4560D7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560D7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4560D7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4560D7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4560D7" w14:paraId="4057DA1D" w14:textId="77777777" w:rsidTr="00456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4560D7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4560D7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4560D7">
        <w:rPr>
          <w:rFonts w:eastAsia="Times New Roman" w:cs="Times New Roman"/>
          <w:lang w:eastAsia="cs-CZ"/>
        </w:rPr>
        <w:t>Přílohy:</w:t>
      </w:r>
    </w:p>
    <w:p w14:paraId="23E77F5D" w14:textId="59B1A64A" w:rsidR="00F44645" w:rsidRPr="004560D7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4560D7">
        <w:rPr>
          <w:rFonts w:eastAsia="Times New Roman" w:cs="Times New Roman"/>
          <w:lang w:eastAsia="cs-CZ"/>
        </w:rPr>
        <w:t xml:space="preserve">Životopis </w:t>
      </w:r>
      <w:r w:rsidR="004A37AD">
        <w:rPr>
          <w:rFonts w:eastAsia="Times New Roman" w:cs="Times New Roman"/>
          <w:lang w:eastAsia="cs-CZ"/>
        </w:rPr>
        <w:t>Business Analytika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4062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A5E89" w14:textId="77777777" w:rsidR="00440625" w:rsidRDefault="00440625" w:rsidP="00962258">
      <w:pPr>
        <w:spacing w:after="0" w:line="240" w:lineRule="auto"/>
      </w:pPr>
      <w:r>
        <w:separator/>
      </w:r>
    </w:p>
  </w:endnote>
  <w:endnote w:type="continuationSeparator" w:id="0">
    <w:p w14:paraId="2097D3C2" w14:textId="77777777" w:rsidR="00440625" w:rsidRDefault="004406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1AF97" w14:textId="77777777" w:rsidR="00440625" w:rsidRDefault="00440625" w:rsidP="00962258">
      <w:pPr>
        <w:spacing w:after="0" w:line="240" w:lineRule="auto"/>
      </w:pPr>
      <w:r>
        <w:separator/>
      </w:r>
    </w:p>
  </w:footnote>
  <w:footnote w:type="continuationSeparator" w:id="0">
    <w:p w14:paraId="326DF744" w14:textId="77777777" w:rsidR="00440625" w:rsidRDefault="0044062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6871"/>
    <w:rsid w:val="00027E55"/>
    <w:rsid w:val="00045E47"/>
    <w:rsid w:val="0006435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42FF"/>
    <w:rsid w:val="001F49FF"/>
    <w:rsid w:val="002072F4"/>
    <w:rsid w:val="00207DF5"/>
    <w:rsid w:val="002126E7"/>
    <w:rsid w:val="00217ED7"/>
    <w:rsid w:val="002243A8"/>
    <w:rsid w:val="00225620"/>
    <w:rsid w:val="002305E9"/>
    <w:rsid w:val="0023070F"/>
    <w:rsid w:val="002340EC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4C29"/>
    <w:rsid w:val="00321D98"/>
    <w:rsid w:val="003221F2"/>
    <w:rsid w:val="00341DCF"/>
    <w:rsid w:val="00354C5C"/>
    <w:rsid w:val="00357BC6"/>
    <w:rsid w:val="003657DE"/>
    <w:rsid w:val="0036634F"/>
    <w:rsid w:val="003956C6"/>
    <w:rsid w:val="003B596F"/>
    <w:rsid w:val="00440625"/>
    <w:rsid w:val="00441430"/>
    <w:rsid w:val="00450F07"/>
    <w:rsid w:val="00453CD3"/>
    <w:rsid w:val="004560D7"/>
    <w:rsid w:val="00460660"/>
    <w:rsid w:val="00486107"/>
    <w:rsid w:val="00487AC9"/>
    <w:rsid w:val="0049064F"/>
    <w:rsid w:val="00491827"/>
    <w:rsid w:val="004A37AD"/>
    <w:rsid w:val="004B348C"/>
    <w:rsid w:val="004C4399"/>
    <w:rsid w:val="004C76E9"/>
    <w:rsid w:val="004C787C"/>
    <w:rsid w:val="004D65B6"/>
    <w:rsid w:val="004D709F"/>
    <w:rsid w:val="004E143C"/>
    <w:rsid w:val="004E3A53"/>
    <w:rsid w:val="004F20BC"/>
    <w:rsid w:val="004F4B9B"/>
    <w:rsid w:val="004F69EA"/>
    <w:rsid w:val="0051019F"/>
    <w:rsid w:val="00511AB9"/>
    <w:rsid w:val="00523EA7"/>
    <w:rsid w:val="005338C2"/>
    <w:rsid w:val="00541EF4"/>
    <w:rsid w:val="005479B4"/>
    <w:rsid w:val="00553375"/>
    <w:rsid w:val="00557C28"/>
    <w:rsid w:val="005736B7"/>
    <w:rsid w:val="00575E5A"/>
    <w:rsid w:val="005B219F"/>
    <w:rsid w:val="005D7E39"/>
    <w:rsid w:val="005E1BD3"/>
    <w:rsid w:val="005F1404"/>
    <w:rsid w:val="0061068E"/>
    <w:rsid w:val="00613242"/>
    <w:rsid w:val="00626DB3"/>
    <w:rsid w:val="00633D9C"/>
    <w:rsid w:val="00644334"/>
    <w:rsid w:val="0065214B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04B47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6F00"/>
    <w:rsid w:val="00807DD0"/>
    <w:rsid w:val="0084684F"/>
    <w:rsid w:val="008659F3"/>
    <w:rsid w:val="00882189"/>
    <w:rsid w:val="00886D4B"/>
    <w:rsid w:val="00895406"/>
    <w:rsid w:val="008A3568"/>
    <w:rsid w:val="008B1A2C"/>
    <w:rsid w:val="008C73ED"/>
    <w:rsid w:val="008D03B9"/>
    <w:rsid w:val="008D39B4"/>
    <w:rsid w:val="008F18D6"/>
    <w:rsid w:val="008F2D67"/>
    <w:rsid w:val="008F6F10"/>
    <w:rsid w:val="0090067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2591"/>
    <w:rsid w:val="009678B7"/>
    <w:rsid w:val="009771C9"/>
    <w:rsid w:val="009833E1"/>
    <w:rsid w:val="009928A4"/>
    <w:rsid w:val="00992D9C"/>
    <w:rsid w:val="00996617"/>
    <w:rsid w:val="00996CB8"/>
    <w:rsid w:val="009B14A9"/>
    <w:rsid w:val="009B2E97"/>
    <w:rsid w:val="009C261E"/>
    <w:rsid w:val="009D3107"/>
    <w:rsid w:val="009E07F4"/>
    <w:rsid w:val="009E71B7"/>
    <w:rsid w:val="009F392E"/>
    <w:rsid w:val="009F7661"/>
    <w:rsid w:val="00A07EA0"/>
    <w:rsid w:val="00A1212D"/>
    <w:rsid w:val="00A134A1"/>
    <w:rsid w:val="00A23E99"/>
    <w:rsid w:val="00A327CB"/>
    <w:rsid w:val="00A45904"/>
    <w:rsid w:val="00A53854"/>
    <w:rsid w:val="00A6177B"/>
    <w:rsid w:val="00A63D48"/>
    <w:rsid w:val="00A66136"/>
    <w:rsid w:val="00A92355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61DB0"/>
    <w:rsid w:val="00B75EE1"/>
    <w:rsid w:val="00B77481"/>
    <w:rsid w:val="00B8518B"/>
    <w:rsid w:val="00B87D91"/>
    <w:rsid w:val="00B914D0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2707"/>
    <w:rsid w:val="00C87B78"/>
    <w:rsid w:val="00CD1FC4"/>
    <w:rsid w:val="00D050E1"/>
    <w:rsid w:val="00D12E61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ED42E4"/>
    <w:rsid w:val="00F02E22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67523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338C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D0876CAAA0B7468CD6B52287B6EF22" ma:contentTypeVersion="12" ma:contentTypeDescription="Vytvoří nový dokument" ma:contentTypeScope="" ma:versionID="0d09f5e7213b5ed5655445dfcffc483c">
  <xsd:schema xmlns:xsd="http://www.w3.org/2001/XMLSchema" xmlns:xs="http://www.w3.org/2001/XMLSchema" xmlns:p="http://schemas.microsoft.com/office/2006/metadata/properties" xmlns:ns2="f20b26c8-0aed-4ec8-ab34-8d4204031244" xmlns:ns3="421b15dd-ecbd-41c3-9165-35f610826432" targetNamespace="http://schemas.microsoft.com/office/2006/metadata/properties" ma:root="true" ma:fieldsID="30cd9b6f8fba4ad5ef07e92722e3d801" ns2:_="" ns3:_="">
    <xsd:import namespace="f20b26c8-0aed-4ec8-ab34-8d4204031244"/>
    <xsd:import namespace="421b15dd-ecbd-41c3-9165-35f610826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b26c8-0aed-4ec8-ab34-8d4204031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15dd-ecbd-41c3-9165-35f6108264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5a3677-d5b4-4ae1-b9c5-0535ca9f0f2a}" ma:internalName="TaxCatchAll" ma:showField="CatchAllData" ma:web="421b15dd-ecbd-41c3-9165-35f6108264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421b15dd-ecbd-41c3-9165-35f610826432" xsi:nil="true"/>
    <lcf76f155ced4ddcb4097134ff3c332f xmlns="f20b26c8-0aed-4ec8-ab34-8d42040312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84DF9-62A1-49D9-A500-78E88787E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b26c8-0aed-4ec8-ab34-8d4204031244"/>
    <ds:schemaRef ds:uri="421b15dd-ecbd-41c3-9165-35f610826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21b15dd-ecbd-41c3-9165-35f610826432"/>
    <ds:schemaRef ds:uri="f20b26c8-0aed-4ec8-ab34-8d420403124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9</Pages>
  <Words>1341</Words>
  <Characters>7918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Orel Jan, Mgr. Bc.</cp:lastModifiedBy>
  <cp:revision>7</cp:revision>
  <cp:lastPrinted>2024-02-27T08:15:00Z</cp:lastPrinted>
  <dcterms:created xsi:type="dcterms:W3CDTF">2024-02-21T13:13:00Z</dcterms:created>
  <dcterms:modified xsi:type="dcterms:W3CDTF">2024-04-15T09:18:00Z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0x01010037D0876CAAA0B7468CD6B52287B6EF22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